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B179BF">
        <w:rPr>
          <w:b/>
          <w:sz w:val="24"/>
          <w:szCs w:val="24"/>
        </w:rPr>
        <w:t>февраль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9C6C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B179BF">
        <w:rPr>
          <w:spacing w:val="-10"/>
          <w:sz w:val="24"/>
          <w:szCs w:val="24"/>
        </w:rPr>
        <w:t>феврале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9C6C71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B179BF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B179BF">
              <w:rPr>
                <w:b/>
                <w:spacing w:val="-6"/>
              </w:rPr>
              <w:t>февраль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9C6C71">
              <w:rPr>
                <w:b/>
                <w:spacing w:val="-6"/>
              </w:rPr>
              <w:t>2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B179BF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E48BF"/>
    <w:rsid w:val="00445ED0"/>
    <w:rsid w:val="004946AE"/>
    <w:rsid w:val="004C1D7F"/>
    <w:rsid w:val="006B6C6C"/>
    <w:rsid w:val="00752373"/>
    <w:rsid w:val="0075774C"/>
    <w:rsid w:val="007E0E97"/>
    <w:rsid w:val="00827CA0"/>
    <w:rsid w:val="0091473C"/>
    <w:rsid w:val="00936783"/>
    <w:rsid w:val="00952EDE"/>
    <w:rsid w:val="009C6C71"/>
    <w:rsid w:val="00A37C77"/>
    <w:rsid w:val="00B179BF"/>
    <w:rsid w:val="00C13CE9"/>
    <w:rsid w:val="00C36EBF"/>
    <w:rsid w:val="00C9528C"/>
    <w:rsid w:val="00CB057A"/>
    <w:rsid w:val="00CF2E60"/>
    <w:rsid w:val="00D4592F"/>
    <w:rsid w:val="00D81CEA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24</cp:revision>
  <dcterms:created xsi:type="dcterms:W3CDTF">2019-10-10T10:33:00Z</dcterms:created>
  <dcterms:modified xsi:type="dcterms:W3CDTF">2022-03-02T04:57:00Z</dcterms:modified>
</cp:coreProperties>
</file>